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Кадастровая палата разъяснила порядок согласования границ дачных участков. </w:t>
      </w:r>
    </w:p>
    <w:p>
      <w:pPr>
        <w:ind w:firstLine="567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/>
      <w:bookmarkStart w:id="0" w:name="_GoBack"/>
      <w:bookmarkEnd w:id="0"/>
      <w:r/>
      <w:r>
        <w:rPr>
          <w:rFonts w:ascii="Times New Roman" w:hAnsi="Times New Roman"/>
          <w:b/>
          <w:sz w:val="28"/>
          <w:szCs w:val="28"/>
        </w:rPr>
        <w:t>Президент России</w:t>
      </w:r>
      <w:r>
        <w:rPr>
          <w:rFonts w:ascii="Times New Roman" w:hAnsi="Times New Roman"/>
          <w:b/>
          <w:sz w:val="28"/>
          <w:szCs w:val="28"/>
        </w:rPr>
        <w:t xml:space="preserve"> Владимир Путин</w:t>
      </w:r>
      <w:r>
        <w:rPr>
          <w:rFonts w:ascii="Times New Roman" w:hAnsi="Times New Roman"/>
          <w:b/>
          <w:sz w:val="28"/>
          <w:szCs w:val="28"/>
        </w:rPr>
        <w:t xml:space="preserve"> подписал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>
          <w:rPr>
            <w:rStyle w:val="char1"/>
            <w:rFonts w:ascii="Times New Roman" w:hAnsi="Times New Roman"/>
            <w:b/>
            <w:sz w:val="28"/>
            <w:szCs w:val="28"/>
          </w:rPr>
          <w:t>закон</w:t>
        </w:r>
      </w:hyperlink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который позволяе</w:t>
      </w:r>
      <w:r>
        <w:rPr>
          <w:rFonts w:ascii="Times New Roman" w:hAnsi="Times New Roman"/>
          <w:b/>
          <w:sz w:val="28"/>
          <w:szCs w:val="28"/>
        </w:rPr>
        <w:t xml:space="preserve">т урегулировать вопрос согласования </w:t>
      </w:r>
      <w:r>
        <w:rPr>
          <w:rFonts w:ascii="Times New Roman" w:hAnsi="Times New Roman"/>
          <w:b/>
          <w:sz w:val="28"/>
          <w:szCs w:val="28"/>
        </w:rPr>
        <w:t xml:space="preserve">общих </w:t>
      </w:r>
      <w:r>
        <w:rPr>
          <w:rFonts w:ascii="Times New Roman" w:hAnsi="Times New Roman"/>
          <w:b/>
          <w:sz w:val="28"/>
          <w:szCs w:val="28"/>
        </w:rPr>
        <w:t>границ</w:t>
      </w:r>
      <w:r>
        <w:rPr>
          <w:rFonts w:ascii="Times New Roman" w:hAnsi="Times New Roman"/>
          <w:b/>
          <w:sz w:val="28"/>
          <w:szCs w:val="28"/>
        </w:rPr>
        <w:t xml:space="preserve"> земельных участков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обязательной процедуры, которая проводится </w:t>
      </w:r>
      <w:r>
        <w:rPr>
          <w:rFonts w:ascii="Times New Roman" w:hAnsi="Times New Roman"/>
          <w:b/>
          <w:sz w:val="28"/>
          <w:szCs w:val="28"/>
        </w:rPr>
        <w:t>кадастровым инженером в ходе межевания</w:t>
      </w:r>
      <w:r>
        <w:rPr>
          <w:rFonts w:ascii="Times New Roman" w:hAnsi="Times New Roman"/>
          <w:b/>
          <w:sz w:val="28"/>
          <w:szCs w:val="28"/>
        </w:rPr>
        <w:t>. Эксперты Федеральной кадастровой палаты рассказали</w:t>
      </w:r>
      <w:r>
        <w:rPr>
          <w:rFonts w:ascii="Times New Roman" w:hAnsi="Times New Roman"/>
          <w:b/>
          <w:sz w:val="28"/>
          <w:szCs w:val="28"/>
        </w:rPr>
        <w:t>, как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предоставление кадастровым инженерам </w:t>
      </w:r>
      <w:r>
        <w:rPr>
          <w:rFonts w:ascii="Times New Roman" w:hAnsi="Times New Roman"/>
          <w:b/>
          <w:sz w:val="28"/>
          <w:szCs w:val="28"/>
        </w:rPr>
        <w:t>сведени</w:t>
      </w:r>
      <w:r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об адресах правообладателей </w:t>
      </w:r>
      <w:r>
        <w:rPr>
          <w:rFonts w:ascii="Times New Roman" w:hAnsi="Times New Roman"/>
          <w:b/>
          <w:sz w:val="28"/>
          <w:szCs w:val="28"/>
        </w:rPr>
        <w:t xml:space="preserve">смежных участков, содержащихся в ЕГРН, </w:t>
      </w:r>
      <w:r>
        <w:rPr>
          <w:rFonts w:ascii="Times New Roman" w:hAnsi="Times New Roman"/>
          <w:b/>
          <w:sz w:val="28"/>
          <w:szCs w:val="28"/>
        </w:rPr>
        <w:t>поможет соблюсти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законны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интерес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землевладельцев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комплексных </w:t>
      </w:r>
      <w:r>
        <w:rPr>
          <w:rFonts w:ascii="Times New Roman" w:hAnsi="Times New Roman"/>
          <w:sz w:val="28"/>
          <w:szCs w:val="28"/>
        </w:rPr>
        <w:t>кадастровых работ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кадастрового учета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числе важнейших новаций 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</w:t>
      </w:r>
      <w:r>
        <w:rPr>
          <w:rFonts w:ascii="Times New Roman" w:hAnsi="Times New Roman"/>
          <w:sz w:val="28"/>
          <w:szCs w:val="28"/>
        </w:rPr>
        <w:t>владельцев недвижимости</w:t>
      </w:r>
      <w:r>
        <w:rPr>
          <w:rFonts w:ascii="Times New Roman" w:hAnsi="Times New Roman"/>
          <w:sz w:val="28"/>
          <w:szCs w:val="28"/>
        </w:rPr>
        <w:t>: почтов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и электронн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Доступ к</w:t>
      </w:r>
      <w:r>
        <w:rPr>
          <w:rFonts w:ascii="Times New Roman" w:hAnsi="Times New Roman"/>
          <w:sz w:val="28"/>
          <w:szCs w:val="28"/>
        </w:rPr>
        <w:t xml:space="preserve"> актуальны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 достоверны</w:t>
      </w:r>
      <w:r>
        <w:rPr>
          <w:rFonts w:ascii="Times New Roman" w:hAnsi="Times New Roman"/>
          <w:sz w:val="28"/>
          <w:szCs w:val="28"/>
        </w:rPr>
        <w:t>м контактам</w:t>
      </w:r>
      <w:r>
        <w:rPr>
          <w:rFonts w:ascii="Times New Roman" w:hAnsi="Times New Roman"/>
          <w:sz w:val="28"/>
          <w:szCs w:val="28"/>
        </w:rPr>
        <w:t xml:space="preserve"> из реес</w:t>
      </w:r>
      <w:r>
        <w:rPr>
          <w:rFonts w:ascii="Times New Roman" w:hAnsi="Times New Roman"/>
          <w:sz w:val="28"/>
          <w:szCs w:val="28"/>
        </w:rPr>
        <w:t>тра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снизит вероятность адресных ошибок при отправке гражданам извещений о </w:t>
      </w:r>
      <w:r>
        <w:rPr>
          <w:rFonts w:ascii="Times New Roman" w:hAnsi="Times New Roman"/>
          <w:sz w:val="28"/>
          <w:szCs w:val="28"/>
        </w:rPr>
        <w:t>проведении согласования</w:t>
      </w:r>
      <w:r>
        <w:rPr>
          <w:rFonts w:ascii="Times New Roman" w:hAnsi="Times New Roman"/>
          <w:sz w:val="28"/>
          <w:szCs w:val="28"/>
        </w:rPr>
        <w:t xml:space="preserve"> границ</w:t>
      </w:r>
      <w:r>
        <w:rPr>
          <w:rFonts w:ascii="Times New Roman" w:hAnsi="Times New Roman"/>
          <w:sz w:val="28"/>
          <w:szCs w:val="28"/>
        </w:rPr>
        <w:t xml:space="preserve"> смежных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</w:t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российскому законодательству, для того чтобы стать полноправным владельцем земельного участка и защитить свою территорию от посягательства третьих лиц, необходимо зарегистрировать права собственности на землю. </w:t>
      </w:r>
      <w:r>
        <w:rPr>
          <w:rFonts w:ascii="Times New Roman" w:hAnsi="Times New Roman"/>
          <w:sz w:val="28"/>
          <w:szCs w:val="28"/>
        </w:rPr>
        <w:t xml:space="preserve">Установить границы участка поможет кадастровый инженер. </w:t>
      </w:r>
      <w:r>
        <w:rPr>
          <w:rFonts w:ascii="Times New Roman" w:hAnsi="Times New Roman"/>
          <w:sz w:val="28"/>
          <w:szCs w:val="28"/>
        </w:rPr>
        <w:t xml:space="preserve">Межевание </w:t>
      </w:r>
      <w:r>
        <w:rPr>
          <w:rFonts w:ascii="Times New Roman" w:hAnsi="Times New Roman"/>
          <w:sz w:val="28"/>
          <w:szCs w:val="28"/>
        </w:rPr>
        <w:t xml:space="preserve">проводится как </w:t>
      </w:r>
      <w:r>
        <w:rPr>
          <w:rFonts w:ascii="Times New Roman" w:hAnsi="Times New Roman"/>
          <w:sz w:val="28"/>
          <w:szCs w:val="28"/>
        </w:rPr>
        <w:t xml:space="preserve">по заказу </w:t>
      </w:r>
      <w:r>
        <w:rPr>
          <w:rFonts w:ascii="Times New Roman" w:hAnsi="Times New Roman"/>
          <w:sz w:val="28"/>
          <w:szCs w:val="28"/>
        </w:rPr>
        <w:t xml:space="preserve">самого собственника, так и на </w:t>
      </w:r>
      <w:r>
        <w:rPr>
          <w:rFonts w:ascii="Times New Roman" w:hAnsi="Times New Roman"/>
          <w:sz w:val="28"/>
          <w:szCs w:val="28"/>
        </w:rPr>
        <w:t>основании государственных или муниципальных контрактов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комплексных кадастровых работ.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адастровый инженер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координаты</w:t>
      </w:r>
      <w:r>
        <w:rPr>
          <w:rFonts w:ascii="Times New Roman" w:hAnsi="Times New Roman"/>
          <w:sz w:val="28"/>
          <w:szCs w:val="28"/>
        </w:rPr>
        <w:t xml:space="preserve"> границ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r>
        <w:rPr>
          <w:rFonts w:ascii="Times New Roman" w:hAnsi="Times New Roman"/>
          <w:sz w:val="28"/>
          <w:szCs w:val="28"/>
        </w:rPr>
        <w:t xml:space="preserve">участка,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сведения </w:t>
      </w:r>
      <w:r>
        <w:rPr>
          <w:rFonts w:ascii="Times New Roman" w:hAnsi="Times New Roman"/>
          <w:sz w:val="28"/>
          <w:szCs w:val="28"/>
        </w:rPr>
        <w:t>о 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примыкающих к нему </w:t>
      </w:r>
      <w:r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внесены в ЕГРН, </w:t>
      </w:r>
      <w:r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согласует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границы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соседями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кадастровый инженер, который до настоящего времени не имел права запрашивать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сведения об </w:t>
      </w:r>
      <w:r>
        <w:rPr>
          <w:rFonts w:ascii="Times New Roman" w:hAnsi="Times New Roman"/>
          <w:sz w:val="28"/>
          <w:szCs w:val="28"/>
        </w:rPr>
        <w:t>адреса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собственников из ЕГРН. </w:t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адрес найти так и не удавалось, кадастровый инженер публиковал извещение в средствах массовой информации, например, в местной газете. По закону, извещения о проведении собрания должны быть вручены, направлены или </w:t>
      </w:r>
      <w:r>
        <w:rPr>
          <w:rFonts w:ascii="Times New Roman" w:hAnsi="Times New Roman"/>
          <w:sz w:val="28"/>
          <w:szCs w:val="28"/>
        </w:rPr>
        <w:t xml:space="preserve">опубликованы не </w:t>
      </w:r>
      <w:r>
        <w:rPr>
          <w:rFonts w:ascii="Times New Roman" w:hAnsi="Times New Roman"/>
          <w:sz w:val="28"/>
          <w:szCs w:val="28"/>
        </w:rPr>
        <w:t xml:space="preserve">позднее </w:t>
      </w:r>
      <w:r>
        <w:rPr>
          <w:rFonts w:ascii="Times New Roman" w:hAnsi="Times New Roman"/>
          <w:sz w:val="28"/>
          <w:szCs w:val="28"/>
        </w:rPr>
        <w:t xml:space="preserve">чем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тридцать дней до</w:t>
      </w:r>
      <w:r>
        <w:rPr>
          <w:rFonts w:ascii="Times New Roman" w:hAnsi="Times New Roman"/>
          <w:sz w:val="28"/>
          <w:szCs w:val="28"/>
        </w:rPr>
        <w:t xml:space="preserve"> проведения собрания. </w:t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spacing w:line="360" w:lineRule="auto"/>
        <w:jc w:val="both"/>
        <w:rPr>
          <w:rFonts w:ascii="Times New Roman" w:hAnsi="Times New Roman" w:eastAsia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Подобные способы выйти на связь с правообладателем сложно назвать оптимальными. При этом если адресат в установленный срок не подпишет акт согласования </w:t>
      </w:r>
      <w:r>
        <w:rPr>
          <w:rFonts w:ascii="Times New Roman" w:hAnsi="Times New Roman" w:eastAsia="Times New Roman"/>
          <w:color w:val="000000"/>
          <w:sz w:val="28"/>
          <w:szCs w:val="28"/>
        </w:rPr>
        <w:t>или не подас</w:t>
      </w:r>
      <w:r>
        <w:rPr>
          <w:rFonts w:ascii="Times New Roman" w:hAnsi="Times New Roman" w:eastAsia="Times New Roman"/>
          <w:color w:val="000000"/>
          <w:sz w:val="28"/>
          <w:szCs w:val="28"/>
        </w:rPr>
        <w:t>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возражени</w:t>
      </w:r>
      <w:r>
        <w:rPr>
          <w:rFonts w:ascii="Times New Roman" w:hAnsi="Times New Roman" w:eastAsia="Times New Roman"/>
          <w:color w:val="000000"/>
          <w:sz w:val="28"/>
          <w:szCs w:val="28"/>
        </w:rPr>
        <w:t>е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в течение 1</w:t>
      </w:r>
      <w:r>
        <w:rPr>
          <w:rFonts w:ascii="Times New Roman" w:hAnsi="Times New Roman" w:eastAsia="Times New Roman"/>
          <w:color w:val="000000"/>
          <w:sz w:val="28"/>
          <w:szCs w:val="28"/>
        </w:rPr>
        <w:t>5 дней после получения извещени</w:t>
      </w:r>
      <w:r>
        <w:rPr>
          <w:rFonts w:ascii="Times New Roman" w:hAnsi="Times New Roman" w:eastAsia="Times New Roman"/>
          <w:color w:val="000000"/>
          <w:sz w:val="28"/>
          <w:szCs w:val="28"/>
        </w:rPr>
        <w:t>я</w:t>
      </w:r>
      <w:r>
        <w:rPr>
          <w:rFonts w:ascii="Times New Roman" w:hAnsi="Times New Roman" w:eastAsia="Times New Roman"/>
          <w:color w:val="000000"/>
          <w:sz w:val="28"/>
          <w:szCs w:val="28"/>
        </w:rPr>
        <w:t>,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акт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будет </w:t>
      </w:r>
      <w:r>
        <w:rPr>
          <w:rFonts w:ascii="Times New Roman" w:hAnsi="Times New Roman" w:eastAsia="Times New Roman"/>
          <w:color w:val="000000"/>
          <w:sz w:val="28"/>
          <w:szCs w:val="28"/>
        </w:rPr>
        <w:t>вн</w:t>
      </w:r>
      <w:r>
        <w:rPr>
          <w:rFonts w:ascii="Times New Roman" w:hAnsi="Times New Roman" w:eastAsia="Times New Roman"/>
          <w:color w:val="000000"/>
          <w:sz w:val="28"/>
          <w:szCs w:val="28"/>
        </w:rPr>
        <w:t>есена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соответствующая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запис</w:t>
      </w:r>
      <w:r>
        <w:rPr>
          <w:rFonts w:ascii="Times New Roman" w:hAnsi="Times New Roman" w:eastAsia="Times New Roman"/>
          <w:color w:val="000000"/>
          <w:sz w:val="28"/>
          <w:szCs w:val="28"/>
        </w:rPr>
        <w:t>ь</w:t>
      </w:r>
      <w:r>
        <w:rPr>
          <w:rFonts w:ascii="Times New Roman" w:hAnsi="Times New Roman" w:eastAsia="Times New Roman"/>
          <w:color w:val="000000"/>
          <w:sz w:val="28"/>
          <w:szCs w:val="28"/>
        </w:rPr>
        <w:t>,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>документ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будет </w:t>
      </w:r>
      <w:r>
        <w:rPr>
          <w:rFonts w:ascii="Times New Roman" w:hAnsi="Times New Roman" w:eastAsia="Times New Roman"/>
          <w:color w:val="000000"/>
          <w:sz w:val="28"/>
          <w:szCs w:val="28"/>
        </w:rPr>
        <w:t>счита</w:t>
      </w:r>
      <w:r>
        <w:rPr>
          <w:rFonts w:ascii="Times New Roman" w:hAnsi="Times New Roman" w:eastAsia="Times New Roman"/>
          <w:color w:val="000000"/>
          <w:sz w:val="28"/>
          <w:szCs w:val="28"/>
        </w:rPr>
        <w:t>ться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согласованным</w:t>
      </w:r>
      <w:r>
        <w:rPr>
          <w:rFonts w:ascii="Times New Roman" w:hAnsi="Times New Roman" w:eastAsia="Times New Roman"/>
          <w:color w:val="000000"/>
          <w:sz w:val="28"/>
          <w:szCs w:val="28"/>
        </w:rPr>
        <w:t>.</w:t>
      </w:r>
      <w:r>
        <w:rPr>
          <w:rFonts w:ascii="Times New Roman" w:hAnsi="Times New Roman" w:eastAsia="Times New Roman"/>
          <w:i/>
          <w:color w:val="000000"/>
          <w:sz w:val="28"/>
          <w:szCs w:val="28"/>
        </w:rPr>
      </w:r>
    </w:p>
    <w:p>
      <w:pPr>
        <w:ind w:firstLine="567"/>
        <w:spacing w:line="360" w:lineRule="auto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споры с соседями </w:t>
      </w:r>
      <w:r>
        <w:rPr>
          <w:rFonts w:ascii="Times New Roman" w:hAnsi="Times New Roman" w:eastAsia="Times New Roman"/>
          <w:color w:val="000000"/>
          <w:sz w:val="28"/>
          <w:szCs w:val="28"/>
        </w:rPr>
        <w:t>предстояло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в суде</w:t>
      </w:r>
      <w:r>
        <w:rPr>
          <w:rFonts w:ascii="Times New Roman" w:hAnsi="Times New Roman" w:eastAsia="Times New Roman"/>
          <w:color w:val="000000"/>
          <w:sz w:val="28"/>
          <w:szCs w:val="28"/>
        </w:rPr>
        <w:t>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</w:r>
    </w:p>
    <w:p>
      <w:pPr>
        <w:ind w:firstLine="567"/>
        <w:spacing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Благодаря поправкам, кадастровые инженеры смогут в установленном порядке получать сведения, необходимые для проведения процедуры согласования границ. Это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позволит в полной мере учитывать правовые интересы законных владельцев недвижимости – как при проведении комплексных</w:t>
      </w:r>
      <w:r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кадастровых работ, так и при индивидуальном межевании участков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3"/>
          <w:sz w:val="28"/>
          <w:szCs w:val="28"/>
        </w:rPr>
      </w:r>
    </w:p>
    <w:p>
      <w:pPr>
        <w:ind w:firstLine="56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</w:rPr>
        <w:t>в ходе проведения комплексных кадастровых работ исполнитель будет представлять в орган регистрации прав заявление о внесении в ЕГРН сведений об адресе электронной почты и (или) о почтовом адресе правообладателя объекта недвижимости.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 xml:space="preserve">Эти </w:t>
      </w:r>
      <w:r>
        <w:rPr>
          <w:rFonts w:ascii="Times New Roman" w:hAnsi="Times New Roman"/>
          <w:spacing w:val="3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нтакт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ные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данные кадастровые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инженер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ы тоже смогут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запрашивать для работы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новый закон устанавливает возможность использования кадастровыми инженерами технических паспортов, оценочной и иной документации, подготовленной органами и организациями технического учета и технической инвентаризации. Для этого органы государственной власти и органы местного самоуправления, которые выступают заказчиками комплексных кадастровых работ, наделяются правом получ</w:t>
      </w:r>
      <w:r>
        <w:rPr>
          <w:rFonts w:ascii="Times New Roman" w:hAnsi="Times New Roman"/>
          <w:sz w:val="28"/>
          <w:szCs w:val="28"/>
        </w:rPr>
        <w:t>ать</w:t>
      </w:r>
      <w:r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 бесплатно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вступает в силу 16 сентября 2019 года. </w:t>
      </w:r>
    </w:p>
    <w:p>
      <w:pPr>
        <w:ind w:firstLine="56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225" w:line="240" w:lineRule="auto"/>
        <w:jc w:val="right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SimSun"/>
          <w:b/>
          <w:kern w:val="1"/>
          <w:sz w:val="24"/>
          <w:szCs w:val="24"/>
          <w:lang w:val="en-us" w:bidi="hi-in"/>
        </w:rPr>
      </w:pPr>
      <w:r>
        <w:rPr>
          <w:rFonts w:ascii="Times New Roman" w:hAnsi="Times New Roman" w:eastAsia="SimSun"/>
          <w:b/>
          <w:kern w:val="1"/>
          <w:sz w:val="24"/>
          <w:szCs w:val="24"/>
          <w:lang w:val="en-us" w:bidi="hi-in"/>
        </w:rPr>
        <w:t>Пресс-служба Кадастровой палаты по Карачаево-Черкесской Республике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14"/>
      <w:tmLastPosIdx w:val="66"/>
    </w:tmLastPosCaret>
    <w:tmLastPosAnchor>
      <w:tmLastPosPgfIdx w:val="0"/>
      <w:tmLastPosIdx w:val="0"/>
    </w:tmLastPosAnchor>
    <w:tmLastPosTblRect w:left="0" w:top="0" w:right="0" w:bottom="0"/>
  </w:tmLastPos>
  <w:tmAppRevision w:date="1563348495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2">
    <w:name w:val="No Spacing"/>
    <w:qFormat/>
    <w:rPr>
      <w:rFonts w:eastAsia="Times New Roman"/>
    </w:rPr>
  </w:style>
  <w:style w:type="paragraph" w:styleId="para3" w:customStyle="1">
    <w:name w:val="annotation text"/>
    <w:qFormat/>
    <w:basedOn w:val="para0"/>
    <w:pPr>
      <w:spacing w:line="240" w:lineRule="auto"/>
    </w:pPr>
    <w:rPr>
      <w:sz w:val="20"/>
      <w:szCs w:val="20"/>
    </w:rPr>
  </w:style>
  <w:style w:type="paragraph" w:styleId="para4" w:customStyle="1">
    <w:name w:val="annotation subject"/>
    <w:qFormat/>
    <w:basedOn w:val="para3"/>
    <w:next w:val="para3"/>
    <w:rPr>
      <w:b/>
      <w:bCs/>
    </w:rPr>
  </w:style>
  <w:style w:type="paragraph" w:styleId="para5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>
    <w:name w:val="FollowedHyperlink"/>
    <w:basedOn w:val="char0"/>
    <w:rPr>
      <w:color w:val="800080"/>
      <w:u w:color="auto" w:val="single"/>
    </w:rPr>
  </w:style>
  <w:style w:type="character" w:styleId="char3" w:customStyle="1">
    <w:name w:val="annotation reference"/>
    <w:basedOn w:val="char0"/>
    <w:rPr>
      <w:sz w:val="16"/>
      <w:szCs w:val="16"/>
    </w:rPr>
  </w:style>
  <w:style w:type="character" w:styleId="char4" w:customStyle="1">
    <w:name w:val="Текст примечания Знак"/>
    <w:basedOn w:val="char0"/>
    <w:rPr>
      <w:sz w:val="20"/>
      <w:szCs w:val="20"/>
    </w:rPr>
  </w:style>
  <w:style w:type="character" w:styleId="char5" w:customStyle="1">
    <w:name w:val="Тема примечания Знак"/>
    <w:basedOn w:val="char4"/>
    <w:rPr>
      <w:b/>
      <w:bCs/>
    </w:rPr>
  </w:style>
  <w:style w:type="character" w:styleId="char6" w:customStyle="1">
    <w:name w:val="Текст выноски Знак"/>
    <w:basedOn w:val="char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2">
    <w:name w:val="No Spacing"/>
    <w:qFormat/>
    <w:rPr>
      <w:rFonts w:eastAsia="Times New Roman"/>
    </w:rPr>
  </w:style>
  <w:style w:type="paragraph" w:styleId="para3" w:customStyle="1">
    <w:name w:val="annotation text"/>
    <w:qFormat/>
    <w:basedOn w:val="para0"/>
    <w:pPr>
      <w:spacing w:line="240" w:lineRule="auto"/>
    </w:pPr>
    <w:rPr>
      <w:sz w:val="20"/>
      <w:szCs w:val="20"/>
    </w:rPr>
  </w:style>
  <w:style w:type="paragraph" w:styleId="para4" w:customStyle="1">
    <w:name w:val="annotation subject"/>
    <w:qFormat/>
    <w:basedOn w:val="para3"/>
    <w:next w:val="para3"/>
    <w:rPr>
      <w:b/>
      <w:bCs/>
    </w:rPr>
  </w:style>
  <w:style w:type="paragraph" w:styleId="para5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>
    <w:name w:val="FollowedHyperlink"/>
    <w:basedOn w:val="char0"/>
    <w:rPr>
      <w:color w:val="800080"/>
      <w:u w:color="auto" w:val="single"/>
    </w:rPr>
  </w:style>
  <w:style w:type="character" w:styleId="char3" w:customStyle="1">
    <w:name w:val="annotation reference"/>
    <w:basedOn w:val="char0"/>
    <w:rPr>
      <w:sz w:val="16"/>
      <w:szCs w:val="16"/>
    </w:rPr>
  </w:style>
  <w:style w:type="character" w:styleId="char4" w:customStyle="1">
    <w:name w:val="Текст примечания Знак"/>
    <w:basedOn w:val="char0"/>
    <w:rPr>
      <w:sz w:val="20"/>
      <w:szCs w:val="20"/>
    </w:rPr>
  </w:style>
  <w:style w:type="character" w:styleId="char5" w:customStyle="1">
    <w:name w:val="Тема примечания Знак"/>
    <w:basedOn w:val="char4"/>
    <w:rPr>
      <w:b/>
      <w:bCs/>
    </w:rPr>
  </w:style>
  <w:style w:type="character" w:styleId="char6" w:customStyle="1">
    <w:name w:val="Текст выноски Знак"/>
    <w:basedOn w:val="char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561953&amp;intelsearch=150-&#2035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Долаева Зарифат</cp:lastModifiedBy>
  <cp:revision>4</cp:revision>
  <cp:lastPrinted>2019-06-27T06:54:00Z</cp:lastPrinted>
  <dcterms:created xsi:type="dcterms:W3CDTF">2019-07-10T06:23:00Z</dcterms:created>
  <dcterms:modified xsi:type="dcterms:W3CDTF">2019-07-17T07:28:15Z</dcterms:modified>
</cp:coreProperties>
</file>