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</w:pPr>
      <w:r>
        <w:rPr>
          <w:noProof/>
        </w:rPr>
        <w:drawing>
          <wp:inline distT="0" distB="0" distL="0" distR="0">
            <wp:extent cx="479107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>
                      <a:picLocks noChangeAspect="1"/>
                      <a:extLst>
                        <a:ext uri="smNativeData">
                          <sm:smNativeData xmlns:sm="smNativeData" val="SMDATA_16_Ks0u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eR0AAGYDAAAAAAAAAAAAAAA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pPr>
        <w:pStyle w:val="para2"/>
        <w:ind w:firstLine="709"/>
        <w:spacing w:before="360" w:after="360"/>
        <w:jc w:val="center"/>
        <w:tabs>
          <w:tab w:val="left" w:pos="709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Подтвердить права на наследство станет проще</w:t>
      </w:r>
    </w:p>
    <w:p>
      <w:pPr>
        <w:pStyle w:val="para2"/>
        <w:ind w:firstLine="709"/>
        <w:spacing w:before="360" w:after="360"/>
        <w:jc w:val="both"/>
        <w:tabs>
          <w:tab w:val="left" w:pos="709" w:leader="none"/>
          <w:tab w:val="left" w:pos="1134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июля 2019 года вступил в силу приказ Минэкономразвития, который упрощает порядок нотариального ведения наследственных дел. Согласно приказу, нотариусы получают возможность напрямую запрашивать сведения из ЕГРН о документах-основаниях регистрации вещного права наследодателя. Расширение перечня предоставляемых нотариусу сведений из госреестра Кадастровой палатой позволит упросить процесс оформления наследства для граждан.  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para2"/>
        <w:ind w:firstLine="709"/>
        <w:spacing/>
        <w:jc w:val="both"/>
        <w:tabs>
          <w:tab w:val="left" w:pos="709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открытии наследственного дела для удостоверения прав на недвижимое имущество требуется представить нотариусу документы, на основании которых зарегистрировано вещное право. Теперь нотариус по запросу может получить сведения о документах, на основании которых зарегистрировано право наследодателя. Ранее такие сведения предоставлялись только по запросу правообладателя, его законного представителя или доверенного лица. Нотариус не имел возможности запрашивать эту информацию из ЕГРН самостоятельно. </w:t>
      </w:r>
    </w:p>
    <w:p>
      <w:pPr>
        <w:pStyle w:val="para2"/>
        <w:ind w:firstLine="709"/>
        <w:spacing w:before="360" w:after="360"/>
        <w:jc w:val="both"/>
        <w:tabs>
          <w:tab w:val="left" w:pos="709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Минэкономразвития </w:t>
      </w:r>
      <w:hyperlink r:id="rId8" w:history="1">
        <w:r>
          <w:rPr>
            <w:rStyle w:val="char2"/>
            <w:rFonts w:ascii="Times New Roman" w:hAnsi="Times New Roman"/>
            <w:sz w:val="28"/>
            <w:szCs w:val="28"/>
          </w:rPr>
          <w:t>от 20.03.2019 № 144</w:t>
        </w:r>
      </w:hyperlink>
      <w:r>
        <w:rPr>
          <w:rFonts w:ascii="Times New Roman" w:hAnsi="Times New Roman"/>
          <w:sz w:val="28"/>
          <w:szCs w:val="28"/>
        </w:rPr>
        <w:t xml:space="preserve"> наделил нотариуса правом заверять и направля</w:t>
      </w:r>
      <w:r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в Федеральную к</w:t>
      </w:r>
      <w:r>
        <w:rPr>
          <w:rFonts w:ascii="Times New Roman" w:hAnsi="Times New Roman"/>
          <w:sz w:val="28"/>
          <w:szCs w:val="28"/>
        </w:rPr>
        <w:t xml:space="preserve">адастровую палату запрос о получении сведений </w:t>
      </w: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ЕГРН о документах-основаниях осуществления государственной регистрации вещного права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</w:p>
    <w:p>
      <w:pPr>
        <w:pStyle w:val="para2"/>
        <w:ind w:firstLine="709"/>
        <w:spacing/>
        <w:jc w:val="both"/>
        <w:tabs>
          <w:tab w:val="left" w:pos="709" w:leader="none"/>
          <w:tab w:val="left" w:pos="1134" w:leader="none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перечня сведений, которые нотариус вправе самостоятельно запрашивать из ЕГРН, позволяет урегулировать вопрос получения документов, необходимых для ведения наследственных дел, без посредничества наследников. Нотариус может запросить данные в бумажном или электронном виде, самостоятельно подписав запрос. Таким образом, п</w:t>
      </w:r>
      <w:r/>
      <w:bookmarkStart w:id="0" w:name="_GoBack"/>
      <w:bookmarkEnd w:id="0"/>
      <w:r/>
      <w:r>
        <w:rPr>
          <w:rFonts w:ascii="Times New Roman" w:hAnsi="Times New Roman"/>
          <w:sz w:val="28"/>
          <w:szCs w:val="28"/>
        </w:rPr>
        <w:t>ри оформлении наследства гражданам станет проще получить нотариальное удостоверение</w:t>
      </w:r>
      <w:r>
        <w:rPr>
          <w:rFonts w:ascii="Times New Roman" w:hAnsi="Times New Roman"/>
          <w:sz w:val="28"/>
          <w:szCs w:val="28"/>
        </w:rPr>
        <w:t xml:space="preserve"> имущественных прав</w:t>
      </w:r>
      <w:r>
        <w:rPr>
          <w:rFonts w:ascii="Times New Roman" w:hAnsi="Times New Roman"/>
          <w:i/>
          <w:sz w:val="28"/>
          <w:szCs w:val="28"/>
        </w:rPr>
        <w:t>.</w:t>
      </w:r>
    </w:p>
    <w:p>
      <w:pPr>
        <w:pStyle w:val="para2"/>
        <w:ind w:firstLine="709"/>
        <w:spacing/>
        <w:jc w:val="both"/>
        <w:tabs>
          <w:tab w:val="left" w:pos="709" w:leader="none"/>
          <w:tab w:val="left" w:pos="1134" w:leader="none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para2"/>
        <w:ind w:firstLine="709"/>
        <w:spacing/>
        <w:jc w:val="both"/>
        <w:tabs>
          <w:tab w:val="left" w:pos="709" w:leader="none"/>
          <w:tab w:val="left" w:pos="1134" w:leader="none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fill="ffffff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</w:r>
    </w:p>
    <w:p>
      <w:pPr>
        <w:spacing w:after="225" w:line="240" w:lineRule="auto"/>
        <w:jc w:val="right"/>
        <w:suppressAutoHyphens/>
        <w:hyphenationLines w:val="0"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SimSun"/>
          <w:b/>
          <w:kern w:val="1"/>
          <w:sz w:val="24"/>
          <w:szCs w:val="24"/>
          <w:lang w:val="en-us" w:eastAsia="zh-cn" w:bidi="hi-in"/>
        </w:rPr>
      </w:pPr>
      <w:r>
        <w:rPr>
          <w:rFonts w:ascii="Times New Roman" w:hAnsi="Times New Roman" w:eastAsia="SimSun"/>
          <w:b/>
          <w:kern w:val="1"/>
          <w:sz w:val="24"/>
          <w:szCs w:val="24"/>
          <w:lang w:val="en-us" w:eastAsia="zh-cn" w:bidi="hi-in"/>
        </w:rPr>
        <w:t>Пресс-служба Кадастровой палаты по Карачаево-Черкесской Республике</w:t>
      </w:r>
    </w:p>
    <w:p>
      <w:pPr>
        <w:spacing w:before="100" w:after="100" w:beforeAutospacing="1" w:afterAutospacing="1" w:line="240" w:lineRule="atLeast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Liberation Serif">
    <w:panose1 w:val="020B0604020202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8"/>
      <w:tmLastPosIdx w:val="66"/>
    </w:tmLastPosCaret>
    <w:tmLastPosAnchor>
      <w:tmLastPosPgfIdx w:val="0"/>
      <w:tmLastPosIdx w:val="0"/>
    </w:tmLastPosAnchor>
    <w:tmLastPosTblRect w:left="0" w:top="0" w:right="0" w:bottom="0"/>
  </w:tmLastPos>
  <w:tmAppRevision w:date="1563348266" w:val="94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2">
    <w:name w:val="No Spacing"/>
    <w:qFormat/>
    <w:rPr>
      <w:rFonts w:eastAsia="Times New Roman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">
    <w:name w:val="Hyperlink"/>
    <w:basedOn w:val="char0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2">
    <w:name w:val="No Spacing"/>
    <w:qFormat/>
    <w:rPr>
      <w:rFonts w:eastAsia="Times New Roman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">
    <w:name w:val="Hyperlink"/>
    <w:basedOn w:val="char0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hyperlink" Target="https://cdnimg.rg.ru/pril/170/82/99/550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Долаева Зарифат</cp:lastModifiedBy>
  <cp:revision>4</cp:revision>
  <dcterms:created xsi:type="dcterms:W3CDTF">2019-07-04T14:43:00Z</dcterms:created>
  <dcterms:modified xsi:type="dcterms:W3CDTF">2019-07-17T07:24:26Z</dcterms:modified>
</cp:coreProperties>
</file>